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8240" behindDoc="1" locked="0" layoutInCell="1" allowOverlap="1">
            <wp:simplePos x="0" y="0"/>
            <wp:positionH relativeFrom="page">
              <wp:posOffset>5972175</wp:posOffset>
            </wp:positionH>
            <wp:positionV relativeFrom="paragraph">
              <wp:posOffset>-518794</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574" cy="705950"/>
                    </a:xfrm>
                    <a:prstGeom prst="rect">
                      <a:avLst/>
                    </a:prstGeom>
                    <a:noFill/>
                  </pic:spPr>
                </pic:pic>
              </a:graphicData>
            </a:graphic>
          </wp:anchor>
        </w:drawing>
      </w: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390D31" w:rsidRPr="00827602" w:rsidRDefault="00DF5EBB" w:rsidP="00390D31">
      <w:pPr>
        <w:pStyle w:val="Title"/>
        <w:spacing w:after="240"/>
        <w:ind w:left="-108" w:firstLine="108"/>
        <w:rPr>
          <w:b w:val="0"/>
          <w:bCs/>
          <w:sz w:val="28"/>
          <w:szCs w:val="28"/>
          <w:lang w:val="en-GB"/>
        </w:rPr>
      </w:pPr>
      <w:r w:rsidRPr="00827602">
        <w:rPr>
          <w:sz w:val="28"/>
          <w:szCs w:val="28"/>
          <w:lang w:val="en-GB"/>
        </w:rPr>
        <w:t xml:space="preserve">Contract reference </w:t>
      </w:r>
      <w:r w:rsidR="00EE0483" w:rsidRPr="00827602">
        <w:rPr>
          <w:sz w:val="28"/>
          <w:szCs w:val="28"/>
          <w:lang w:val="en-GB"/>
        </w:rPr>
        <w:t>n</w:t>
      </w:r>
      <w:r w:rsidR="006B42F8" w:rsidRPr="00827602">
        <w:rPr>
          <w:sz w:val="28"/>
          <w:szCs w:val="28"/>
          <w:lang w:val="en-GB"/>
        </w:rPr>
        <w:t>o</w:t>
      </w:r>
      <w:r w:rsidRPr="00827602">
        <w:rPr>
          <w:sz w:val="28"/>
          <w:szCs w:val="28"/>
          <w:lang w:val="en-GB"/>
        </w:rPr>
        <w:t>.</w:t>
      </w:r>
      <w:r w:rsidR="00D261B4" w:rsidRPr="00827602">
        <w:rPr>
          <w:sz w:val="28"/>
          <w:szCs w:val="28"/>
          <w:lang w:val="en-GB"/>
        </w:rPr>
        <w:t xml:space="preserve">: </w:t>
      </w:r>
      <w:r w:rsidR="00390D31" w:rsidRPr="00827602">
        <w:rPr>
          <w:b w:val="0"/>
          <w:bCs/>
          <w:sz w:val="28"/>
          <w:szCs w:val="28"/>
          <w:lang w:val="en-GB"/>
        </w:rPr>
        <w:t>10thEDF/PE</w:t>
      </w:r>
      <w:r w:rsidR="00827602" w:rsidRPr="00827602">
        <w:rPr>
          <w:b w:val="0"/>
          <w:bCs/>
          <w:sz w:val="28"/>
          <w:szCs w:val="28"/>
          <w:lang w:val="en-GB"/>
        </w:rPr>
        <w:t>1</w:t>
      </w:r>
      <w:r w:rsidR="00390D31" w:rsidRPr="00827602">
        <w:rPr>
          <w:b w:val="0"/>
          <w:bCs/>
          <w:sz w:val="28"/>
          <w:szCs w:val="28"/>
          <w:lang w:val="en-GB"/>
        </w:rPr>
        <w:t>/SER/</w:t>
      </w:r>
      <w:r w:rsidR="007A084C">
        <w:rPr>
          <w:b w:val="0"/>
          <w:bCs/>
          <w:sz w:val="28"/>
          <w:szCs w:val="28"/>
          <w:lang w:val="en-GB"/>
        </w:rPr>
        <w:t>1.2.</w:t>
      </w:r>
      <w:r w:rsidR="00E72806">
        <w:rPr>
          <w:b w:val="0"/>
          <w:bCs/>
          <w:sz w:val="28"/>
          <w:szCs w:val="28"/>
          <w:lang w:val="en-GB"/>
        </w:rPr>
        <w:t>2</w:t>
      </w:r>
      <w:r w:rsidR="007A084C">
        <w:rPr>
          <w:b w:val="0"/>
          <w:bCs/>
          <w:sz w:val="28"/>
          <w:szCs w:val="28"/>
          <w:lang w:val="en-GB"/>
        </w:rPr>
        <w:t>LD</w:t>
      </w:r>
    </w:p>
    <w:p w:rsidR="00D261B4" w:rsidRPr="00827602" w:rsidRDefault="00CD258D" w:rsidP="00BB4831">
      <w:pPr>
        <w:pStyle w:val="Title"/>
        <w:spacing w:after="240"/>
        <w:ind w:left="-115" w:firstLine="115"/>
        <w:rPr>
          <w:sz w:val="28"/>
          <w:szCs w:val="28"/>
          <w:lang w:val="en-GB"/>
        </w:rPr>
      </w:pPr>
      <w:r w:rsidRPr="00827602">
        <w:rPr>
          <w:sz w:val="28"/>
          <w:szCs w:val="28"/>
          <w:lang w:val="en-GB"/>
        </w:rPr>
        <w:t xml:space="preserve">Contract title: </w:t>
      </w:r>
      <w:bookmarkStart w:id="0" w:name="_GoBack"/>
      <w:r w:rsidR="00E72806" w:rsidRPr="00E72806">
        <w:rPr>
          <w:sz w:val="28"/>
          <w:szCs w:val="28"/>
          <w:lang w:val="en-GB"/>
        </w:rPr>
        <w:t xml:space="preserve">Facilitator to Establish </w:t>
      </w:r>
      <w:proofErr w:type="gramStart"/>
      <w:r w:rsidR="00E72806" w:rsidRPr="00E72806">
        <w:rPr>
          <w:sz w:val="28"/>
          <w:szCs w:val="28"/>
          <w:lang w:val="en-GB"/>
        </w:rPr>
        <w:t>A</w:t>
      </w:r>
      <w:proofErr w:type="gramEnd"/>
      <w:r w:rsidR="00E72806" w:rsidRPr="00E72806">
        <w:rPr>
          <w:sz w:val="28"/>
          <w:szCs w:val="28"/>
          <w:lang w:val="en-GB"/>
        </w:rPr>
        <w:t xml:space="preserve"> Cadre of Trainers </w:t>
      </w:r>
      <w:bookmarkEnd w:id="0"/>
      <w:r w:rsidR="00E72806" w:rsidRPr="00E72806">
        <w:rPr>
          <w:sz w:val="28"/>
          <w:szCs w:val="28"/>
          <w:lang w:val="en-GB"/>
        </w:rPr>
        <w:t>to Build Capacity of Youth Already in Conflict with the Law</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E72806" w:rsidRDefault="00966282" w:rsidP="00E72806">
      <w:pPr>
        <w:spacing w:after="0"/>
        <w:jc w:val="both"/>
        <w:rPr>
          <w:rFonts w:ascii="Times New Roman" w:hAnsi="Times New Roman"/>
          <w:sz w:val="24"/>
          <w:szCs w:val="24"/>
          <w:lang w:eastAsia="en-US"/>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D90413" w:rsidRPr="00AC2DD2">
        <w:rPr>
          <w:rFonts w:ascii="Times New Roman" w:hAnsi="Times New Roman"/>
          <w:b/>
          <w:i/>
          <w:color w:val="000000"/>
          <w:spacing w:val="-1"/>
          <w:sz w:val="24"/>
          <w:szCs w:val="24"/>
        </w:rPr>
        <w:t>10</w:t>
      </w:r>
      <w:r w:rsidR="00D90413" w:rsidRPr="00AC2DD2">
        <w:rPr>
          <w:rFonts w:ascii="Times New Roman" w:hAnsi="Times New Roman"/>
          <w:b/>
          <w:i/>
          <w:color w:val="000000"/>
          <w:spacing w:val="-1"/>
          <w:sz w:val="24"/>
          <w:szCs w:val="24"/>
          <w:vertAlign w:val="superscript"/>
        </w:rPr>
        <w:t>th</w:t>
      </w:r>
      <w:r w:rsidR="00D90413" w:rsidRPr="00AC2DD2">
        <w:rPr>
          <w:rFonts w:ascii="Times New Roman" w:hAnsi="Times New Roman"/>
          <w:b/>
          <w:i/>
          <w:color w:val="000000"/>
          <w:spacing w:val="-1"/>
          <w:sz w:val="24"/>
          <w:szCs w:val="24"/>
        </w:rPr>
        <w:t xml:space="preserve"> EDF CARIFORUM Crime and Security Cooperation Programme</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E72806" w:rsidRPr="00E72806">
        <w:rPr>
          <w:rFonts w:ascii="Times New Roman" w:hAnsi="Times New Roman"/>
          <w:b/>
          <w:i/>
          <w:sz w:val="24"/>
          <w:szCs w:val="24"/>
          <w:lang w:eastAsia="en-US"/>
        </w:rPr>
        <w:t xml:space="preserve">Facilitator to Establish </w:t>
      </w:r>
      <w:proofErr w:type="gramStart"/>
      <w:r w:rsidR="00E72806" w:rsidRPr="00E72806">
        <w:rPr>
          <w:rFonts w:ascii="Times New Roman" w:hAnsi="Times New Roman"/>
          <w:b/>
          <w:i/>
          <w:sz w:val="24"/>
          <w:szCs w:val="24"/>
          <w:lang w:eastAsia="en-US"/>
        </w:rPr>
        <w:t>A</w:t>
      </w:r>
      <w:proofErr w:type="gramEnd"/>
      <w:r w:rsidR="00E72806" w:rsidRPr="00E72806">
        <w:rPr>
          <w:rFonts w:ascii="Times New Roman" w:hAnsi="Times New Roman"/>
          <w:b/>
          <w:i/>
          <w:sz w:val="24"/>
          <w:szCs w:val="24"/>
          <w:lang w:eastAsia="en-US"/>
        </w:rPr>
        <w:t xml:space="preserve"> Cadre of Trainers to Build Capacity of Youth Already in Conflict with the Law</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 xml:space="preserve">The intended purpose of this contract is </w:t>
      </w:r>
      <w:r w:rsidR="00E72806" w:rsidRPr="00E72806">
        <w:rPr>
          <w:rFonts w:ascii="Times New Roman" w:hAnsi="Times New Roman"/>
          <w:sz w:val="24"/>
          <w:szCs w:val="24"/>
          <w:lang w:eastAsia="en-US"/>
        </w:rPr>
        <w:t>to provide training for the establishment of a cadre of trainers to build capacity in youth already in conflict with the law to effectively address youth crime and violence from a social perspective.</w:t>
      </w: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1" w:name="_Toc424210161"/>
      <w:r w:rsidRPr="00AC2DD2">
        <w:rPr>
          <w:rFonts w:ascii="Times New Roman" w:hAnsi="Times New Roman"/>
          <w:b/>
          <w:sz w:val="24"/>
          <w:szCs w:val="24"/>
        </w:rPr>
        <w:t>Overall objective</w:t>
      </w:r>
      <w:bookmarkEnd w:id="1"/>
    </w:p>
    <w:p w:rsidR="00BD7E72" w:rsidRPr="00AC2DD2" w:rsidRDefault="00BD7E72" w:rsidP="00BB4831">
      <w:pPr>
        <w:autoSpaceDE w:val="0"/>
        <w:autoSpaceDN w:val="0"/>
        <w:adjustRightInd w:val="0"/>
        <w:spacing w:after="0"/>
        <w:jc w:val="both"/>
        <w:rPr>
          <w:rFonts w:ascii="Times New Roman" w:hAnsi="Times New Roman"/>
          <w:sz w:val="24"/>
          <w:szCs w:val="24"/>
        </w:rPr>
      </w:pPr>
      <w:r w:rsidRPr="00AC2DD2">
        <w:rPr>
          <w:rFonts w:ascii="Times New Roman" w:hAnsi="Times New Roman"/>
          <w:sz w:val="24"/>
          <w:szCs w:val="24"/>
        </w:rPr>
        <w:t>The overall objective of the project of which this contract will be a part is as follows:</w:t>
      </w:r>
    </w:p>
    <w:p w:rsidR="00E72806" w:rsidRPr="00E72806" w:rsidRDefault="00E72806" w:rsidP="00E72806">
      <w:pPr>
        <w:pStyle w:val="ListParagraph"/>
        <w:numPr>
          <w:ilvl w:val="0"/>
          <w:numId w:val="15"/>
        </w:numPr>
        <w:jc w:val="both"/>
        <w:rPr>
          <w:sz w:val="24"/>
          <w:szCs w:val="24"/>
        </w:rPr>
      </w:pPr>
      <w:r w:rsidRPr="00E72806">
        <w:rPr>
          <w:sz w:val="24"/>
          <w:szCs w:val="24"/>
        </w:rPr>
        <w:t>to contribute to the overall safety of citizens and improvement of the security environment in the CARIFORUM region through support for Crime Prevention and Risk Reduction and the promotion of Restorative Justice in CARIFORUM. It is expected that this would be achieved through specialised capacity building and interventions that lead to communal and institutional behavioural change, strengthened government sectors and entrepreneurial development.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w:t>
      </w:r>
      <w:r w:rsidR="00827602" w:rsidRPr="00AC2DD2">
        <w:rPr>
          <w:b w:val="0"/>
          <w:sz w:val="24"/>
          <w:szCs w:val="24"/>
          <w:lang w:val="en-GB"/>
        </w:rPr>
        <w:t xml:space="preserve">15:00 hours on </w:t>
      </w:r>
      <w:r w:rsidR="007A084C">
        <w:rPr>
          <w:i/>
          <w:sz w:val="24"/>
          <w:szCs w:val="24"/>
          <w:lang w:val="en-GB"/>
        </w:rPr>
        <w:t>Friday</w:t>
      </w:r>
      <w:r w:rsidR="00827602" w:rsidRPr="00923DEA">
        <w:rPr>
          <w:i/>
          <w:sz w:val="24"/>
          <w:szCs w:val="24"/>
          <w:lang w:val="en-GB"/>
        </w:rPr>
        <w:t xml:space="preserve">, </w:t>
      </w:r>
      <w:r w:rsidR="007A084C">
        <w:rPr>
          <w:i/>
          <w:sz w:val="24"/>
          <w:szCs w:val="24"/>
          <w:lang w:val="en-GB"/>
        </w:rPr>
        <w:t>7</w:t>
      </w:r>
      <w:r w:rsidR="00827602" w:rsidRPr="00923DEA">
        <w:rPr>
          <w:i/>
          <w:sz w:val="24"/>
          <w:szCs w:val="24"/>
          <w:vertAlign w:val="superscript"/>
          <w:lang w:val="en-GB"/>
        </w:rPr>
        <w:t>th</w:t>
      </w:r>
      <w:r w:rsidR="00827602" w:rsidRPr="00923DEA">
        <w:rPr>
          <w:i/>
          <w:sz w:val="24"/>
          <w:szCs w:val="24"/>
          <w:lang w:val="en-GB"/>
        </w:rPr>
        <w:t xml:space="preserve"> September, 2018</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0"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Following the assessment of the submissions, a shortlist of not less than three,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E37A95" w:rsidRPr="00AC2DD2" w:rsidRDefault="00722BD4" w:rsidP="007A084C">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E72806" w:rsidRDefault="00E72806" w:rsidP="00CD258D">
      <w:pPr>
        <w:pStyle w:val="Title"/>
        <w:pBdr>
          <w:bottom w:val="single" w:sz="6" w:space="1" w:color="auto"/>
        </w:pBdr>
        <w:tabs>
          <w:tab w:val="left" w:pos="6912"/>
          <w:tab w:val="left" w:pos="8188"/>
          <w:tab w:val="left" w:pos="10031"/>
        </w:tabs>
        <w:jc w:val="both"/>
        <w:rPr>
          <w:b w:val="0"/>
          <w:sz w:val="24"/>
          <w:szCs w:val="24"/>
          <w:lang w:val="en-GB"/>
        </w:rPr>
      </w:pPr>
    </w:p>
    <w:p w:rsidR="00E72806" w:rsidRDefault="00E72806" w:rsidP="00CD258D">
      <w:pPr>
        <w:pStyle w:val="Title"/>
        <w:pBdr>
          <w:bottom w:val="single" w:sz="6" w:space="1" w:color="auto"/>
        </w:pBdr>
        <w:tabs>
          <w:tab w:val="left" w:pos="6912"/>
          <w:tab w:val="left" w:pos="8188"/>
          <w:tab w:val="left" w:pos="10031"/>
        </w:tabs>
        <w:jc w:val="both"/>
        <w:rPr>
          <w:b w:val="0"/>
          <w:sz w:val="24"/>
          <w:szCs w:val="24"/>
          <w:lang w:val="en-GB"/>
        </w:rPr>
      </w:pPr>
    </w:p>
    <w:p w:rsidR="00E72806" w:rsidRDefault="00E72806"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72806"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6704" behindDoc="0" locked="0" layoutInCell="1" allowOverlap="1" wp14:anchorId="51C64F24" wp14:editId="3FD7089F">
            <wp:simplePos x="0" y="0"/>
            <wp:positionH relativeFrom="column">
              <wp:posOffset>-181001</wp:posOffset>
            </wp:positionH>
            <wp:positionV relativeFrom="paragraph">
              <wp:posOffset>-432</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r w:rsidR="00390D31">
        <w:rPr>
          <w:b w:val="0"/>
          <w:noProof/>
          <w:sz w:val="22"/>
          <w:szCs w:val="22"/>
          <w:lang w:eastAsia="en-US"/>
        </w:rPr>
        <w:drawing>
          <wp:anchor distT="0" distB="0" distL="114300" distR="114300" simplePos="0" relativeHeight="251658752" behindDoc="1" locked="0" layoutInCell="1" allowOverlap="1" wp14:anchorId="03D5A51D" wp14:editId="362BFAC4">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602" cy="733571"/>
                    </a:xfrm>
                    <a:prstGeom prst="rect">
                      <a:avLst/>
                    </a:prstGeom>
                    <a:noFill/>
                  </pic:spPr>
                </pic:pic>
              </a:graphicData>
            </a:graphic>
          </wp:anchor>
        </w:drawing>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E72806" w:rsidRPr="00827602" w:rsidRDefault="00E72806" w:rsidP="00E72806">
      <w:pPr>
        <w:pStyle w:val="Title"/>
        <w:spacing w:after="240"/>
        <w:ind w:left="-108" w:firstLine="108"/>
        <w:rPr>
          <w:b w:val="0"/>
          <w:bCs/>
          <w:sz w:val="28"/>
          <w:szCs w:val="28"/>
          <w:lang w:val="en-GB"/>
        </w:rPr>
      </w:pPr>
      <w:r w:rsidRPr="00827602">
        <w:rPr>
          <w:sz w:val="28"/>
          <w:szCs w:val="28"/>
          <w:lang w:val="en-GB"/>
        </w:rPr>
        <w:t xml:space="preserve">Contract reference no.: </w:t>
      </w:r>
      <w:r w:rsidRPr="00827602">
        <w:rPr>
          <w:b w:val="0"/>
          <w:bCs/>
          <w:sz w:val="28"/>
          <w:szCs w:val="28"/>
          <w:lang w:val="en-GB"/>
        </w:rPr>
        <w:t>10thEDF/PE1/SER/</w:t>
      </w:r>
      <w:r>
        <w:rPr>
          <w:b w:val="0"/>
          <w:bCs/>
          <w:sz w:val="28"/>
          <w:szCs w:val="28"/>
          <w:lang w:val="en-GB"/>
        </w:rPr>
        <w:t>1.2.2LD</w:t>
      </w:r>
    </w:p>
    <w:p w:rsidR="00E72806" w:rsidRPr="00827602" w:rsidRDefault="00E72806" w:rsidP="00E72806">
      <w:pPr>
        <w:pStyle w:val="Title"/>
        <w:spacing w:after="240"/>
        <w:ind w:left="-115" w:firstLine="115"/>
        <w:rPr>
          <w:sz w:val="28"/>
          <w:szCs w:val="28"/>
          <w:lang w:val="en-GB"/>
        </w:rPr>
      </w:pPr>
      <w:r w:rsidRPr="00827602">
        <w:rPr>
          <w:sz w:val="28"/>
          <w:szCs w:val="28"/>
          <w:lang w:val="en-GB"/>
        </w:rPr>
        <w:t xml:space="preserve">Contract title: </w:t>
      </w:r>
      <w:r w:rsidRPr="00E72806">
        <w:rPr>
          <w:sz w:val="28"/>
          <w:szCs w:val="28"/>
          <w:lang w:val="en-GB"/>
        </w:rPr>
        <w:t xml:space="preserve">Facilitator to Establish </w:t>
      </w:r>
      <w:proofErr w:type="gramStart"/>
      <w:r w:rsidRPr="00E72806">
        <w:rPr>
          <w:sz w:val="28"/>
          <w:szCs w:val="28"/>
          <w:lang w:val="en-GB"/>
        </w:rPr>
        <w:t>A</w:t>
      </w:r>
      <w:proofErr w:type="gramEnd"/>
      <w:r w:rsidRPr="00E72806">
        <w:rPr>
          <w:sz w:val="28"/>
          <w:szCs w:val="28"/>
          <w:lang w:val="en-GB"/>
        </w:rPr>
        <w:t xml:space="preserve"> Cadre of Trainers to Build Capacity of Youth Already in Conflict with the Law</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6D" w:rsidRDefault="00751F6D">
      <w:r>
        <w:separator/>
      </w:r>
    </w:p>
  </w:endnote>
  <w:endnote w:type="continuationSeparator" w:id="0">
    <w:p w:rsidR="00751F6D" w:rsidRDefault="00751F6D">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E72806">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E72806">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722BD4">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722BD4">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E72806">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E72806">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E72806">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E72806">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E72806">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E72806">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6D" w:rsidRDefault="00751F6D">
      <w:r>
        <w:separator/>
      </w:r>
    </w:p>
  </w:footnote>
  <w:footnote w:type="continuationSeparator" w:id="0">
    <w:p w:rsidR="00751F6D" w:rsidRDefault="00751F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A5F3F"/>
    <w:multiLevelType w:val="hybridMultilevel"/>
    <w:tmpl w:val="5964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8"/>
  </w:num>
  <w:num w:numId="11">
    <w:abstractNumId w:val="10"/>
  </w:num>
  <w:num w:numId="12">
    <w:abstractNumId w:val="8"/>
    <w:lvlOverride w:ilvl="0">
      <w:startOverride w:val="1"/>
    </w:lvlOverride>
  </w:num>
  <w:num w:numId="13">
    <w:abstractNumId w:val="2"/>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BD4"/>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72806"/>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7C68"/>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B755-E82D-4D56-9F61-3076262C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4746</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2</cp:revision>
  <cp:lastPrinted>2018-03-19T19:38:00Z</cp:lastPrinted>
  <dcterms:created xsi:type="dcterms:W3CDTF">2018-09-03T19:09:00Z</dcterms:created>
  <dcterms:modified xsi:type="dcterms:W3CDTF">2018-09-03T19:09:00Z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