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4A" w:rsidRDefault="006B704A">
      <w:bookmarkStart w:id="0" w:name="_GoBack"/>
      <w:bookmarkEnd w:id="0"/>
    </w:p>
    <w:p w:rsidR="00434109" w:rsidRDefault="00434109" w:rsidP="00434109">
      <w:pPr>
        <w:jc w:val="center"/>
        <w:rPr>
          <w:b/>
          <w:sz w:val="24"/>
          <w:szCs w:val="24"/>
        </w:rPr>
      </w:pPr>
      <w:r>
        <w:rPr>
          <w:b/>
          <w:sz w:val="24"/>
          <w:szCs w:val="24"/>
        </w:rPr>
        <w:t>Terms of Reference</w:t>
      </w:r>
    </w:p>
    <w:p w:rsidR="00717298" w:rsidRPr="00434109" w:rsidRDefault="00A26D83" w:rsidP="00434109">
      <w:pPr>
        <w:jc w:val="center"/>
        <w:rPr>
          <w:b/>
          <w:sz w:val="24"/>
          <w:szCs w:val="24"/>
        </w:rPr>
      </w:pPr>
      <w:r w:rsidRPr="00434109">
        <w:rPr>
          <w:b/>
          <w:sz w:val="24"/>
          <w:szCs w:val="24"/>
        </w:rPr>
        <w:t>Consultancy to prepare Dominica’</w:t>
      </w:r>
      <w:r w:rsidR="00434109" w:rsidRPr="00434109">
        <w:rPr>
          <w:b/>
          <w:sz w:val="24"/>
          <w:szCs w:val="24"/>
        </w:rPr>
        <w:t>s</w:t>
      </w:r>
      <w:r w:rsidRPr="00434109">
        <w:rPr>
          <w:b/>
          <w:sz w:val="24"/>
          <w:szCs w:val="24"/>
        </w:rPr>
        <w:t xml:space="preserve"> Sixt</w:t>
      </w:r>
      <w:r w:rsidR="00434109">
        <w:rPr>
          <w:b/>
          <w:sz w:val="24"/>
          <w:szCs w:val="24"/>
        </w:rPr>
        <w:t>h</w:t>
      </w:r>
      <w:r w:rsidRPr="00434109">
        <w:rPr>
          <w:b/>
          <w:sz w:val="24"/>
          <w:szCs w:val="24"/>
        </w:rPr>
        <w:t xml:space="preserve"> National Report to the Convention on Biological Diversity</w:t>
      </w:r>
    </w:p>
    <w:p w:rsidR="00253BD9" w:rsidRPr="00717298" w:rsidRDefault="00253BD9">
      <w:pPr>
        <w:rPr>
          <w:sz w:val="24"/>
          <w:szCs w:val="24"/>
        </w:rPr>
      </w:pPr>
      <w:r w:rsidRPr="00717298">
        <w:rPr>
          <w:sz w:val="24"/>
          <w:szCs w:val="24"/>
        </w:rPr>
        <w:t xml:space="preserve">Parties </w:t>
      </w:r>
      <w:r w:rsidR="00717298">
        <w:rPr>
          <w:sz w:val="24"/>
          <w:szCs w:val="24"/>
        </w:rPr>
        <w:t xml:space="preserve">to the UNCBD </w:t>
      </w:r>
      <w:r w:rsidRPr="00717298">
        <w:rPr>
          <w:sz w:val="24"/>
          <w:szCs w:val="24"/>
        </w:rPr>
        <w:t>are required by Article 26 of the Convention to submit national reports to the Conference of the Parties on measures taken for the implementation of the Convention and their effectiveness in meeting the objectives of the Convention.</w:t>
      </w:r>
      <w:r w:rsidR="00717298">
        <w:rPr>
          <w:sz w:val="24"/>
          <w:szCs w:val="24"/>
        </w:rPr>
        <w:t xml:space="preserve"> In accordance with Article 26 of the convention, the Government of the Commonwealth of Dominica is seeking for a consultant or team of consultants to prepare the 6</w:t>
      </w:r>
      <w:r w:rsidR="00717298" w:rsidRPr="00717298">
        <w:rPr>
          <w:sz w:val="24"/>
          <w:szCs w:val="24"/>
          <w:vertAlign w:val="superscript"/>
        </w:rPr>
        <w:t>th</w:t>
      </w:r>
      <w:r w:rsidR="00717298">
        <w:rPr>
          <w:sz w:val="24"/>
          <w:szCs w:val="24"/>
        </w:rPr>
        <w:t xml:space="preserve"> National Report.</w:t>
      </w:r>
      <w:r w:rsidR="00A26D83">
        <w:rPr>
          <w:sz w:val="24"/>
          <w:szCs w:val="24"/>
        </w:rPr>
        <w:t xml:space="preserve"> </w:t>
      </w:r>
    </w:p>
    <w:p w:rsidR="00253BD9" w:rsidRDefault="00253BD9">
      <w:pPr>
        <w:rPr>
          <w:sz w:val="24"/>
          <w:szCs w:val="24"/>
        </w:rPr>
      </w:pPr>
      <w:r w:rsidRPr="00717298">
        <w:rPr>
          <w:sz w:val="24"/>
          <w:szCs w:val="24"/>
        </w:rPr>
        <w:t xml:space="preserve">The sixth national reports should provide a final review of progress in the implementation of the Strategic Plan for Biodiversity 2011-2020 and towards the Aichi Biodiversity Targets, including relevant national targets, based on information concerning the implementation of national biodiversity strategies and action plans and other actions taken to implement the Convention. </w:t>
      </w:r>
      <w:r w:rsidR="00A26D83">
        <w:rPr>
          <w:sz w:val="24"/>
          <w:szCs w:val="24"/>
        </w:rPr>
        <w:t>The Report</w:t>
      </w:r>
      <w:r w:rsidRPr="00717298">
        <w:rPr>
          <w:sz w:val="24"/>
          <w:szCs w:val="24"/>
        </w:rPr>
        <w:t xml:space="preserve"> should provide updates since the last national report was submitted. This includes information on new or recently completed actions or efforts, as well as updates on ongoing actions or efforts. It also includes recent changes to the status and trends of biodiversity and to the pressures on it.</w:t>
      </w:r>
    </w:p>
    <w:p w:rsidR="00A26D83" w:rsidRDefault="00A26D83">
      <w:pPr>
        <w:rPr>
          <w:sz w:val="24"/>
          <w:szCs w:val="24"/>
        </w:rPr>
      </w:pPr>
      <w:r>
        <w:rPr>
          <w:sz w:val="24"/>
          <w:szCs w:val="24"/>
        </w:rPr>
        <w:t>The Report must be completed by 15</w:t>
      </w:r>
      <w:r w:rsidRPr="00A26D83">
        <w:rPr>
          <w:sz w:val="24"/>
          <w:szCs w:val="24"/>
          <w:vertAlign w:val="superscript"/>
        </w:rPr>
        <w:t>th</w:t>
      </w:r>
      <w:r>
        <w:rPr>
          <w:sz w:val="24"/>
          <w:szCs w:val="24"/>
        </w:rPr>
        <w:t xml:space="preserve"> November to allow for national review by stakeholder groups</w:t>
      </w:r>
      <w:r w:rsidR="00434109">
        <w:rPr>
          <w:sz w:val="24"/>
          <w:szCs w:val="24"/>
        </w:rPr>
        <w:t xml:space="preserve"> and finalization</w:t>
      </w:r>
      <w:r>
        <w:rPr>
          <w:sz w:val="24"/>
          <w:szCs w:val="24"/>
        </w:rPr>
        <w:t xml:space="preserve"> before submission to the Government</w:t>
      </w:r>
      <w:r w:rsidR="00434109">
        <w:rPr>
          <w:sz w:val="24"/>
          <w:szCs w:val="24"/>
        </w:rPr>
        <w:t xml:space="preserve"> by December 15</w:t>
      </w:r>
      <w:r w:rsidR="00434109" w:rsidRPr="00434109">
        <w:rPr>
          <w:sz w:val="24"/>
          <w:szCs w:val="24"/>
          <w:vertAlign w:val="superscript"/>
        </w:rPr>
        <w:t>th</w:t>
      </w:r>
      <w:r w:rsidR="00434109">
        <w:rPr>
          <w:sz w:val="24"/>
          <w:szCs w:val="24"/>
        </w:rPr>
        <w:t xml:space="preserve"> 2018.</w:t>
      </w:r>
    </w:p>
    <w:p w:rsidR="00434109" w:rsidRDefault="00434109">
      <w:pPr>
        <w:rPr>
          <w:sz w:val="24"/>
          <w:szCs w:val="24"/>
        </w:rPr>
      </w:pPr>
    </w:p>
    <w:p w:rsidR="00434109" w:rsidRPr="00434109" w:rsidRDefault="00434109">
      <w:pPr>
        <w:rPr>
          <w:b/>
          <w:sz w:val="24"/>
          <w:szCs w:val="24"/>
        </w:rPr>
      </w:pPr>
      <w:r w:rsidRPr="00434109">
        <w:rPr>
          <w:b/>
          <w:sz w:val="24"/>
          <w:szCs w:val="24"/>
        </w:rPr>
        <w:t>Special Duties and Responsibilities</w:t>
      </w:r>
    </w:p>
    <w:p w:rsidR="00301A28" w:rsidRDefault="00301A28" w:rsidP="00434109">
      <w:pPr>
        <w:pStyle w:val="ListParagraph"/>
        <w:numPr>
          <w:ilvl w:val="0"/>
          <w:numId w:val="1"/>
        </w:numPr>
      </w:pPr>
      <w:r>
        <w:t>Become familiar with the Resource Manual for the 6NR and the annotated reporting template.</w:t>
      </w:r>
    </w:p>
    <w:p w:rsidR="00301A28" w:rsidRDefault="00301A28" w:rsidP="00434109">
      <w:pPr>
        <w:pStyle w:val="ListParagraph"/>
        <w:numPr>
          <w:ilvl w:val="0"/>
          <w:numId w:val="1"/>
        </w:numPr>
      </w:pPr>
      <w:r>
        <w:t xml:space="preserve">Review and become familiar with all relevant national reports </w:t>
      </w:r>
      <w:proofErr w:type="spellStart"/>
      <w:r>
        <w:t>i.e</w:t>
      </w:r>
      <w:proofErr w:type="spellEnd"/>
      <w:r>
        <w:t xml:space="preserve"> NBSAP, 5</w:t>
      </w:r>
      <w:r w:rsidRPr="00301A28">
        <w:rPr>
          <w:vertAlign w:val="superscript"/>
        </w:rPr>
        <w:t>th</w:t>
      </w:r>
      <w:r>
        <w:t xml:space="preserve"> Report, UNFCC C reports, SLM reports</w:t>
      </w:r>
      <w:r w:rsidR="00D46B6A">
        <w:t>/UNCCD reports</w:t>
      </w:r>
      <w:r>
        <w:t>.</w:t>
      </w:r>
    </w:p>
    <w:p w:rsidR="00434109" w:rsidRDefault="00434109" w:rsidP="00434109">
      <w:pPr>
        <w:pStyle w:val="ListParagraph"/>
        <w:numPr>
          <w:ilvl w:val="0"/>
          <w:numId w:val="1"/>
        </w:numPr>
      </w:pPr>
      <w:r>
        <w:t xml:space="preserve">Review all regulations and legislations relating to Dominica’s natural resources and protected areas including </w:t>
      </w:r>
      <w:r w:rsidRPr="00E06D28">
        <w:t>National Parks and Protected Areas Act,</w:t>
      </w:r>
      <w:r>
        <w:t xml:space="preserve"> Forestry Act and Fisheries Act.</w:t>
      </w:r>
    </w:p>
    <w:p w:rsidR="00434109" w:rsidRDefault="00434109" w:rsidP="00434109">
      <w:pPr>
        <w:pStyle w:val="ListParagraph"/>
        <w:numPr>
          <w:ilvl w:val="0"/>
          <w:numId w:val="1"/>
        </w:numPr>
      </w:pPr>
      <w:r>
        <w:t>Conduct stakeholder consultation to understand existing realities relating to</w:t>
      </w:r>
      <w:r w:rsidR="00301A28">
        <w:t xml:space="preserve"> biodiversity</w:t>
      </w:r>
      <w:r w:rsidR="00D46B6A">
        <w:t xml:space="preserve"> and activities currently being undertaken or planned to respond to national commitments</w:t>
      </w:r>
      <w:r>
        <w:t>.</w:t>
      </w:r>
    </w:p>
    <w:p w:rsidR="00D46B6A" w:rsidRDefault="00D46B6A" w:rsidP="00434109">
      <w:pPr>
        <w:pStyle w:val="ListParagraph"/>
        <w:numPr>
          <w:ilvl w:val="0"/>
          <w:numId w:val="1"/>
        </w:numPr>
      </w:pPr>
      <w:r>
        <w:t>Evaluate the effectiveness of the measures taken, the identification of lessons learned, and of technical, scientific and capacity needs, as well as needs for implementation support to Biodiversity.</w:t>
      </w:r>
    </w:p>
    <w:p w:rsidR="00D46B6A" w:rsidRDefault="006C411F" w:rsidP="00434109">
      <w:pPr>
        <w:pStyle w:val="ListParagraph"/>
        <w:numPr>
          <w:ilvl w:val="0"/>
          <w:numId w:val="1"/>
        </w:numPr>
      </w:pPr>
      <w:r>
        <w:t xml:space="preserve">Review </w:t>
      </w:r>
      <w:r w:rsidR="00D46B6A">
        <w:t>global agreements or processes with reporting requirements relevant to the preparation of the sixth national reports</w:t>
      </w:r>
      <w:r>
        <w:t xml:space="preserve"> and incorporate the findings as relevant.</w:t>
      </w:r>
    </w:p>
    <w:p w:rsidR="006C411F" w:rsidRDefault="006C411F" w:rsidP="00434109">
      <w:pPr>
        <w:pStyle w:val="ListParagraph"/>
        <w:numPr>
          <w:ilvl w:val="0"/>
          <w:numId w:val="1"/>
        </w:numPr>
      </w:pPr>
      <w:r>
        <w:lastRenderedPageBreak/>
        <w:t>Assess the progress made towards their national biodiversity targets and to describe their national contributions towards the global Aichi Biodiversity Targets</w:t>
      </w:r>
    </w:p>
    <w:p w:rsidR="006C411F" w:rsidRDefault="006C411F" w:rsidP="00434109">
      <w:pPr>
        <w:pStyle w:val="ListParagraph"/>
        <w:numPr>
          <w:ilvl w:val="0"/>
          <w:numId w:val="1"/>
        </w:numPr>
      </w:pPr>
      <w:r>
        <w:t>Collect information on biodiversity targets being pursued at the national level;</w:t>
      </w:r>
    </w:p>
    <w:p w:rsidR="006C411F" w:rsidRDefault="006C411F" w:rsidP="00434109">
      <w:pPr>
        <w:pStyle w:val="ListParagraph"/>
        <w:numPr>
          <w:ilvl w:val="0"/>
          <w:numId w:val="1"/>
        </w:numPr>
      </w:pPr>
      <w:r>
        <w:t>Update the country’s biodiversity profile.</w:t>
      </w:r>
    </w:p>
    <w:p w:rsidR="00717298" w:rsidRDefault="00717298">
      <w:pPr>
        <w:rPr>
          <w:sz w:val="24"/>
          <w:szCs w:val="24"/>
        </w:rPr>
      </w:pPr>
    </w:p>
    <w:p w:rsidR="006C411F" w:rsidRPr="006C411F" w:rsidRDefault="006C411F">
      <w:pPr>
        <w:rPr>
          <w:b/>
          <w:sz w:val="24"/>
          <w:szCs w:val="24"/>
        </w:rPr>
      </w:pPr>
      <w:r w:rsidRPr="006C411F">
        <w:rPr>
          <w:b/>
          <w:sz w:val="24"/>
          <w:szCs w:val="24"/>
        </w:rPr>
        <w:t>Qualification and Experience</w:t>
      </w:r>
    </w:p>
    <w:p w:rsidR="006C411F" w:rsidRPr="00F516DA" w:rsidRDefault="006C411F" w:rsidP="006C411F">
      <w:pPr>
        <w:numPr>
          <w:ilvl w:val="0"/>
          <w:numId w:val="2"/>
        </w:numPr>
        <w:autoSpaceDE w:val="0"/>
        <w:autoSpaceDN w:val="0"/>
        <w:spacing w:after="0" w:line="240" w:lineRule="auto"/>
        <w:contextualSpacing/>
        <w:rPr>
          <w:rFonts w:ascii="Myriad Pro" w:eastAsiaTheme="minorEastAsia" w:hAnsi="Myriad Pro" w:cs="Courier New"/>
          <w:bCs/>
          <w:lang w:val="en-GB" w:eastAsia="en-GB"/>
        </w:rPr>
      </w:pPr>
      <w:r w:rsidRPr="00F516DA">
        <w:rPr>
          <w:rFonts w:eastAsiaTheme="minorEastAsia"/>
          <w:lang w:val="en-GB" w:eastAsia="en-GB"/>
        </w:rPr>
        <w:t xml:space="preserve">University degree in </w:t>
      </w:r>
      <w:r>
        <w:rPr>
          <w:rFonts w:eastAsiaTheme="minorEastAsia"/>
          <w:lang w:val="en-GB" w:eastAsia="en-GB"/>
        </w:rPr>
        <w:t>Biological Science (Biodiversity, Forestry, Environment etc.).</w:t>
      </w:r>
    </w:p>
    <w:p w:rsidR="006C411F" w:rsidRPr="007062E7" w:rsidRDefault="00AC7FEA" w:rsidP="006C411F">
      <w:pPr>
        <w:numPr>
          <w:ilvl w:val="0"/>
          <w:numId w:val="2"/>
        </w:numPr>
        <w:autoSpaceDE w:val="0"/>
        <w:autoSpaceDN w:val="0"/>
        <w:spacing w:after="0" w:line="240" w:lineRule="auto"/>
        <w:contextualSpacing/>
        <w:rPr>
          <w:rFonts w:ascii="Myriad Pro" w:eastAsiaTheme="minorEastAsia" w:hAnsi="Myriad Pro" w:cs="Courier New"/>
          <w:bCs/>
          <w:lang w:val="en-GB" w:eastAsia="en-GB"/>
        </w:rPr>
      </w:pPr>
      <w:r>
        <w:rPr>
          <w:rFonts w:eastAsiaTheme="minorEastAsia"/>
          <w:lang w:val="en-GB" w:eastAsia="en-GB"/>
        </w:rPr>
        <w:t>At least five years working e</w:t>
      </w:r>
      <w:r w:rsidR="006C411F" w:rsidRPr="00F516DA">
        <w:rPr>
          <w:rFonts w:eastAsiaTheme="minorEastAsia"/>
          <w:lang w:val="en-GB" w:eastAsia="en-GB"/>
        </w:rPr>
        <w:t>xperience in</w:t>
      </w:r>
      <w:r>
        <w:rPr>
          <w:rFonts w:eastAsiaTheme="minorEastAsia"/>
          <w:lang w:val="en-GB" w:eastAsia="en-GB"/>
        </w:rPr>
        <w:t xml:space="preserve"> a</w:t>
      </w:r>
      <w:r w:rsidR="006C411F">
        <w:rPr>
          <w:rFonts w:eastAsiaTheme="minorEastAsia"/>
          <w:lang w:val="en-GB" w:eastAsia="en-GB"/>
        </w:rPr>
        <w:t xml:space="preserve"> </w:t>
      </w:r>
      <w:r>
        <w:rPr>
          <w:rFonts w:eastAsiaTheme="minorEastAsia"/>
          <w:lang w:val="en-GB" w:eastAsia="en-GB"/>
        </w:rPr>
        <w:t>Biodiversity related field</w:t>
      </w:r>
      <w:r w:rsidR="006C411F" w:rsidRPr="00F516DA">
        <w:rPr>
          <w:rFonts w:eastAsiaTheme="minorEastAsia"/>
          <w:lang w:val="en-GB" w:eastAsia="en-GB"/>
        </w:rPr>
        <w:t>.</w:t>
      </w:r>
      <w:r w:rsidR="006C411F">
        <w:rPr>
          <w:rFonts w:eastAsiaTheme="minorEastAsia"/>
          <w:lang w:val="en-GB" w:eastAsia="en-GB"/>
        </w:rPr>
        <w:t xml:space="preserve"> </w:t>
      </w:r>
    </w:p>
    <w:p w:rsidR="006C411F" w:rsidRDefault="00AC7FEA" w:rsidP="006C411F">
      <w:pPr>
        <w:numPr>
          <w:ilvl w:val="0"/>
          <w:numId w:val="2"/>
        </w:numPr>
        <w:autoSpaceDE w:val="0"/>
        <w:autoSpaceDN w:val="0"/>
        <w:spacing w:after="0" w:line="240" w:lineRule="auto"/>
        <w:contextualSpacing/>
        <w:rPr>
          <w:rFonts w:ascii="Myriad Pro" w:eastAsiaTheme="minorEastAsia" w:hAnsi="Myriad Pro" w:cs="Courier New"/>
          <w:bCs/>
          <w:lang w:val="en-GB" w:eastAsia="en-GB"/>
        </w:rPr>
      </w:pPr>
      <w:r>
        <w:rPr>
          <w:rFonts w:ascii="Myriad Pro" w:eastAsiaTheme="minorEastAsia" w:hAnsi="Myriad Pro" w:cs="Courier New"/>
          <w:bCs/>
          <w:lang w:val="en-GB" w:eastAsia="en-GB"/>
        </w:rPr>
        <w:t xml:space="preserve">A working knowledge of Dominica’s biodiversity and the current challenges </w:t>
      </w:r>
    </w:p>
    <w:p w:rsidR="006C411F" w:rsidRPr="007062E7" w:rsidRDefault="006C411F" w:rsidP="006C411F">
      <w:pPr>
        <w:numPr>
          <w:ilvl w:val="0"/>
          <w:numId w:val="2"/>
        </w:numPr>
        <w:autoSpaceDE w:val="0"/>
        <w:autoSpaceDN w:val="0"/>
        <w:spacing w:after="0" w:line="240" w:lineRule="auto"/>
        <w:contextualSpacing/>
        <w:rPr>
          <w:rFonts w:ascii="Myriad Pro" w:eastAsiaTheme="minorEastAsia" w:hAnsi="Myriad Pro" w:cs="Courier New"/>
          <w:bCs/>
          <w:lang w:val="en-GB" w:eastAsia="en-GB"/>
        </w:rPr>
      </w:pPr>
      <w:r w:rsidRPr="007062E7">
        <w:rPr>
          <w:rFonts w:eastAsiaTheme="minorEastAsia" w:cs="Calibri"/>
          <w:lang w:val="en-GB" w:eastAsia="en-GB"/>
        </w:rPr>
        <w:t xml:space="preserve">An understanding of </w:t>
      </w:r>
      <w:r>
        <w:rPr>
          <w:rFonts w:eastAsiaTheme="minorEastAsia" w:cs="Calibri"/>
          <w:lang w:val="en-GB" w:eastAsia="en-GB"/>
        </w:rPr>
        <w:t>the governmental structure of Dominica</w:t>
      </w:r>
    </w:p>
    <w:p w:rsidR="006C411F" w:rsidRDefault="006C411F" w:rsidP="006C411F">
      <w:pPr>
        <w:numPr>
          <w:ilvl w:val="0"/>
          <w:numId w:val="2"/>
        </w:numPr>
        <w:autoSpaceDE w:val="0"/>
        <w:autoSpaceDN w:val="0"/>
        <w:spacing w:after="0" w:line="240" w:lineRule="auto"/>
        <w:contextualSpacing/>
        <w:rPr>
          <w:rFonts w:ascii="Myriad Pro" w:eastAsiaTheme="minorEastAsia" w:hAnsi="Myriad Pro" w:cs="Courier New"/>
          <w:bCs/>
          <w:lang w:val="en-GB" w:eastAsia="en-GB"/>
        </w:rPr>
      </w:pPr>
      <w:r>
        <w:rPr>
          <w:rFonts w:eastAsiaTheme="minorEastAsia" w:cs="Calibri"/>
          <w:lang w:val="en-GB" w:eastAsia="en-GB"/>
        </w:rPr>
        <w:t>Knowledge of the functions and duties of the ECU</w:t>
      </w:r>
      <w:r w:rsidR="00AC7FEA">
        <w:rPr>
          <w:rFonts w:eastAsiaTheme="minorEastAsia" w:cs="Calibri"/>
          <w:lang w:val="en-GB" w:eastAsia="en-GB"/>
        </w:rPr>
        <w:t xml:space="preserve"> and the Ministry of Agriculture.</w:t>
      </w:r>
    </w:p>
    <w:p w:rsidR="006C411F" w:rsidRPr="007062E7" w:rsidRDefault="006C411F" w:rsidP="006C411F">
      <w:pPr>
        <w:numPr>
          <w:ilvl w:val="0"/>
          <w:numId w:val="2"/>
        </w:numPr>
        <w:autoSpaceDE w:val="0"/>
        <w:autoSpaceDN w:val="0"/>
        <w:spacing w:after="0" w:line="240" w:lineRule="auto"/>
        <w:contextualSpacing/>
        <w:rPr>
          <w:rFonts w:ascii="Myriad Pro" w:eastAsiaTheme="minorEastAsia" w:hAnsi="Myriad Pro" w:cs="Courier New"/>
          <w:bCs/>
          <w:lang w:val="en-GB" w:eastAsia="en-GB"/>
        </w:rPr>
      </w:pPr>
      <w:r w:rsidRPr="007062E7">
        <w:rPr>
          <w:rFonts w:eastAsiaTheme="minorEastAsia" w:cs="Calibri"/>
          <w:lang w:val="en-GB" w:eastAsia="en-GB"/>
        </w:rPr>
        <w:t xml:space="preserve">Knowledge of Dominica’s social structure and development challenges </w:t>
      </w:r>
    </w:p>
    <w:p w:rsidR="006C411F" w:rsidRPr="00EC09E4" w:rsidRDefault="006C411F" w:rsidP="006C411F">
      <w:pPr>
        <w:spacing w:after="0" w:line="240" w:lineRule="auto"/>
        <w:rPr>
          <w:rFonts w:ascii="Myriad Pro" w:eastAsia="Times New Roman" w:hAnsi="Myriad Pro" w:cs="Courier New"/>
          <w:b/>
          <w:bCs/>
          <w:sz w:val="20"/>
          <w:szCs w:val="20"/>
        </w:rPr>
      </w:pPr>
      <w:bookmarkStart w:id="1" w:name="_Toc20032609"/>
      <w:bookmarkStart w:id="2" w:name="_Toc20067457"/>
    </w:p>
    <w:p w:rsidR="006C411F" w:rsidRPr="00EC09E4" w:rsidRDefault="006C411F" w:rsidP="006C411F">
      <w:pPr>
        <w:spacing w:after="0" w:line="240" w:lineRule="auto"/>
        <w:ind w:left="720"/>
        <w:contextualSpacing/>
        <w:rPr>
          <w:rFonts w:ascii="Myriad Pro" w:eastAsiaTheme="minorEastAsia" w:hAnsi="Myriad Pro" w:cs="Courier New"/>
          <w:b/>
          <w:bCs/>
          <w:lang w:val="en-GB" w:eastAsia="en-GB"/>
        </w:rPr>
      </w:pPr>
      <w:r w:rsidRPr="00EC09E4">
        <w:rPr>
          <w:rFonts w:ascii="Myriad Pro" w:eastAsiaTheme="minorEastAsia" w:hAnsi="Myriad Pro" w:cs="Courier New"/>
          <w:b/>
          <w:bCs/>
          <w:lang w:val="en-GB" w:eastAsia="en-GB"/>
        </w:rPr>
        <w:t>Skills:</w:t>
      </w:r>
    </w:p>
    <w:p w:rsidR="006C411F" w:rsidRPr="00EC09E4" w:rsidRDefault="006C411F" w:rsidP="006C411F">
      <w:pPr>
        <w:numPr>
          <w:ilvl w:val="0"/>
          <w:numId w:val="2"/>
        </w:numPr>
        <w:autoSpaceDE w:val="0"/>
        <w:autoSpaceDN w:val="0"/>
        <w:spacing w:after="0" w:line="240" w:lineRule="auto"/>
        <w:contextualSpacing/>
        <w:rPr>
          <w:rFonts w:eastAsia="Times New Roman" w:cs="Calibri"/>
        </w:rPr>
      </w:pPr>
      <w:r w:rsidRPr="00EC09E4">
        <w:rPr>
          <w:rFonts w:eastAsia="Times New Roman" w:cs="Calibri"/>
        </w:rPr>
        <w:t xml:space="preserve">Proven ability </w:t>
      </w:r>
      <w:r w:rsidR="00AC7FEA">
        <w:rPr>
          <w:rFonts w:eastAsia="Times New Roman" w:cs="Calibri"/>
        </w:rPr>
        <w:t>to conduct stakeholder consultation in order to obtain relevant data.</w:t>
      </w:r>
    </w:p>
    <w:p w:rsidR="006C411F" w:rsidRPr="00EC09E4" w:rsidRDefault="006C411F" w:rsidP="006C411F">
      <w:pPr>
        <w:numPr>
          <w:ilvl w:val="0"/>
          <w:numId w:val="2"/>
        </w:numPr>
        <w:autoSpaceDE w:val="0"/>
        <w:autoSpaceDN w:val="0"/>
        <w:spacing w:after="0" w:line="240" w:lineRule="auto"/>
        <w:contextualSpacing/>
        <w:rPr>
          <w:rFonts w:eastAsia="Times New Roman" w:cs="Calibri"/>
        </w:rPr>
      </w:pPr>
      <w:r>
        <w:rPr>
          <w:rFonts w:eastAsia="Times New Roman" w:cs="Calibri"/>
        </w:rPr>
        <w:t>Knowledge of Dominica’s public</w:t>
      </w:r>
      <w:r w:rsidR="00AC7FEA">
        <w:rPr>
          <w:rFonts w:eastAsia="Times New Roman" w:cs="Calibri"/>
        </w:rPr>
        <w:t xml:space="preserve"> service structure and operations</w:t>
      </w:r>
    </w:p>
    <w:p w:rsidR="006C411F" w:rsidRPr="00EC09E4" w:rsidRDefault="006C411F" w:rsidP="006C411F">
      <w:pPr>
        <w:numPr>
          <w:ilvl w:val="0"/>
          <w:numId w:val="2"/>
        </w:numPr>
        <w:autoSpaceDE w:val="0"/>
        <w:autoSpaceDN w:val="0"/>
        <w:spacing w:after="0" w:line="240" w:lineRule="auto"/>
        <w:contextualSpacing/>
        <w:rPr>
          <w:rFonts w:eastAsia="Times New Roman" w:cs="Calibri"/>
        </w:rPr>
      </w:pPr>
      <w:r w:rsidRPr="00EC09E4">
        <w:rPr>
          <w:rFonts w:eastAsia="Times New Roman" w:cs="Calibri"/>
        </w:rPr>
        <w:t>Excellent interpersonal skills</w:t>
      </w:r>
    </w:p>
    <w:p w:rsidR="006C411F" w:rsidRPr="00EC09E4" w:rsidRDefault="006C411F" w:rsidP="006C411F">
      <w:pPr>
        <w:numPr>
          <w:ilvl w:val="0"/>
          <w:numId w:val="2"/>
        </w:numPr>
        <w:autoSpaceDE w:val="0"/>
        <w:autoSpaceDN w:val="0"/>
        <w:spacing w:after="0" w:line="240" w:lineRule="auto"/>
        <w:contextualSpacing/>
        <w:rPr>
          <w:rFonts w:eastAsia="Times New Roman" w:cs="Calibri"/>
        </w:rPr>
      </w:pPr>
      <w:r w:rsidRPr="00EC09E4">
        <w:rPr>
          <w:rFonts w:eastAsia="Times New Roman" w:cs="Calibri"/>
        </w:rPr>
        <w:t>Ability to meet deadlines and prioritize multiple tasks</w:t>
      </w:r>
    </w:p>
    <w:p w:rsidR="006C411F" w:rsidRPr="00EC09E4" w:rsidRDefault="006C411F" w:rsidP="006C411F">
      <w:pPr>
        <w:numPr>
          <w:ilvl w:val="0"/>
          <w:numId w:val="2"/>
        </w:numPr>
        <w:autoSpaceDE w:val="0"/>
        <w:autoSpaceDN w:val="0"/>
        <w:spacing w:after="0" w:line="240" w:lineRule="auto"/>
        <w:contextualSpacing/>
        <w:rPr>
          <w:rFonts w:eastAsia="Times New Roman" w:cs="Calibri"/>
        </w:rPr>
      </w:pPr>
      <w:r w:rsidRPr="00EC09E4">
        <w:rPr>
          <w:rFonts w:eastAsia="Times New Roman" w:cs="Calibri"/>
        </w:rPr>
        <w:t xml:space="preserve">Proficiency </w:t>
      </w:r>
      <w:r>
        <w:rPr>
          <w:rFonts w:eastAsia="Times New Roman" w:cs="Calibri"/>
        </w:rPr>
        <w:t>in computer software application.</w:t>
      </w:r>
    </w:p>
    <w:p w:rsidR="006C411F" w:rsidRPr="00EC09E4" w:rsidRDefault="006C411F" w:rsidP="006C411F">
      <w:pPr>
        <w:spacing w:after="0" w:line="240" w:lineRule="auto"/>
        <w:ind w:left="720"/>
        <w:contextualSpacing/>
        <w:rPr>
          <w:rFonts w:ascii="Myriad Pro" w:eastAsiaTheme="minorEastAsia" w:hAnsi="Myriad Pro" w:cs="Courier New"/>
          <w:b/>
          <w:bCs/>
          <w:lang w:val="en-GB" w:eastAsia="en-GB"/>
        </w:rPr>
      </w:pPr>
      <w:r w:rsidRPr="00EC09E4">
        <w:rPr>
          <w:rFonts w:ascii="Myriad Pro" w:eastAsiaTheme="minorEastAsia" w:hAnsi="Myriad Pro" w:cs="Courier New"/>
          <w:b/>
          <w:bCs/>
          <w:lang w:val="en-GB" w:eastAsia="en-GB"/>
        </w:rPr>
        <w:tab/>
      </w:r>
      <w:bookmarkEnd w:id="1"/>
      <w:bookmarkEnd w:id="2"/>
    </w:p>
    <w:p w:rsidR="006C411F" w:rsidRPr="00EC09E4" w:rsidRDefault="006C411F" w:rsidP="006C411F">
      <w:pPr>
        <w:spacing w:after="0" w:line="240" w:lineRule="auto"/>
        <w:ind w:left="720"/>
        <w:contextualSpacing/>
        <w:rPr>
          <w:rFonts w:ascii="Myriad Pro" w:eastAsiaTheme="minorEastAsia" w:hAnsi="Myriad Pro" w:cs="Courier New"/>
          <w:b/>
          <w:bCs/>
          <w:lang w:val="en-GB" w:eastAsia="en-GB"/>
        </w:rPr>
      </w:pPr>
      <w:r w:rsidRPr="00EC09E4">
        <w:rPr>
          <w:rFonts w:ascii="Myriad Pro" w:eastAsiaTheme="minorEastAsia" w:hAnsi="Myriad Pro" w:cs="Courier New"/>
          <w:b/>
          <w:bCs/>
          <w:lang w:val="en-GB" w:eastAsia="en-GB"/>
        </w:rPr>
        <w:t>Language Requirements:</w:t>
      </w:r>
      <w:r w:rsidRPr="00EC09E4">
        <w:rPr>
          <w:rFonts w:ascii="Myriad Pro" w:eastAsiaTheme="minorEastAsia" w:hAnsi="Myriad Pro" w:cs="Courier New"/>
          <w:b/>
          <w:bCs/>
          <w:lang w:val="en-GB" w:eastAsia="en-GB"/>
        </w:rPr>
        <w:tab/>
      </w:r>
    </w:p>
    <w:p w:rsidR="006C411F" w:rsidRPr="00171F08" w:rsidRDefault="00AC7FEA" w:rsidP="006C411F">
      <w:pPr>
        <w:numPr>
          <w:ilvl w:val="0"/>
          <w:numId w:val="2"/>
        </w:numPr>
        <w:autoSpaceDE w:val="0"/>
        <w:autoSpaceDN w:val="0"/>
        <w:spacing w:after="0" w:line="240" w:lineRule="auto"/>
        <w:contextualSpacing/>
        <w:jc w:val="both"/>
        <w:rPr>
          <w:rFonts w:ascii="Times New Roman" w:eastAsia="Times New Roman" w:hAnsi="Times New Roman" w:cs="Times New Roman"/>
          <w:sz w:val="20"/>
          <w:szCs w:val="20"/>
          <w:lang w:val="en-GB"/>
        </w:rPr>
      </w:pPr>
      <w:r>
        <w:rPr>
          <w:rFonts w:eastAsia="Times New Roman" w:cs="Calibri"/>
        </w:rPr>
        <w:t>Excellent command of</w:t>
      </w:r>
      <w:r w:rsidR="006C411F" w:rsidRPr="00171F08">
        <w:rPr>
          <w:rFonts w:eastAsia="Times New Roman" w:cs="Calibri"/>
        </w:rPr>
        <w:t xml:space="preserve"> English, both written and oral</w:t>
      </w:r>
      <w:r w:rsidR="006C411F">
        <w:rPr>
          <w:rFonts w:eastAsia="Times New Roman" w:cs="Calibri"/>
        </w:rPr>
        <w:t>.</w:t>
      </w:r>
    </w:p>
    <w:p w:rsidR="006C411F" w:rsidRDefault="006C411F" w:rsidP="006C411F"/>
    <w:p w:rsidR="006C411F" w:rsidRPr="00626DDC" w:rsidRDefault="006C411F" w:rsidP="006C411F"/>
    <w:p w:rsidR="006C411F" w:rsidRPr="00717298" w:rsidRDefault="006C411F">
      <w:pPr>
        <w:rPr>
          <w:sz w:val="24"/>
          <w:szCs w:val="24"/>
        </w:rPr>
      </w:pPr>
    </w:p>
    <w:sectPr w:rsidR="006C411F" w:rsidRPr="00717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A3C"/>
    <w:multiLevelType w:val="hybridMultilevel"/>
    <w:tmpl w:val="38F2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067D56"/>
    <w:multiLevelType w:val="hybridMultilevel"/>
    <w:tmpl w:val="1F16CFB2"/>
    <w:lvl w:ilvl="0" w:tplc="08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D9"/>
    <w:rsid w:val="00253BD9"/>
    <w:rsid w:val="00301A28"/>
    <w:rsid w:val="00434109"/>
    <w:rsid w:val="005377B4"/>
    <w:rsid w:val="00633F36"/>
    <w:rsid w:val="006B704A"/>
    <w:rsid w:val="006C411F"/>
    <w:rsid w:val="00717298"/>
    <w:rsid w:val="00A26D83"/>
    <w:rsid w:val="00AC7FEA"/>
    <w:rsid w:val="00D4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879B0-B668-4E97-BDCF-E4EF9DB2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kongit Haile-Gabrile</cp:lastModifiedBy>
  <cp:revision>2</cp:revision>
  <dcterms:created xsi:type="dcterms:W3CDTF">2018-08-20T13:00:00Z</dcterms:created>
  <dcterms:modified xsi:type="dcterms:W3CDTF">2018-08-20T13:00:00Z</dcterms:modified>
</cp:coreProperties>
</file>